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6D22" w14:textId="7249AA3F" w:rsidR="00C8754F" w:rsidRPr="00C8754F" w:rsidRDefault="006F4EAE" w:rsidP="00C8754F">
      <w:pPr>
        <w:jc w:val="center"/>
        <w:rPr>
          <w:rFonts w:ascii="Arial" w:eastAsia="Comic Sans MS" w:hAnsi="Arial" w:cs="Arial"/>
          <w:b/>
          <w:u w:val="single"/>
        </w:rPr>
      </w:pPr>
      <w:bookmarkStart w:id="0" w:name="_GoBack"/>
      <w:bookmarkEnd w:id="0"/>
      <w:proofErr w:type="spellStart"/>
      <w:r>
        <w:rPr>
          <w:rFonts w:ascii="Arial" w:eastAsia="Comic Sans MS" w:hAnsi="Arial" w:cs="Arial"/>
          <w:b/>
          <w:u w:val="single"/>
        </w:rPr>
        <w:t>Bearpark</w:t>
      </w:r>
      <w:proofErr w:type="spellEnd"/>
      <w:r w:rsidR="003950D9">
        <w:rPr>
          <w:rFonts w:ascii="Arial" w:eastAsia="Comic Sans MS" w:hAnsi="Arial" w:cs="Arial"/>
          <w:b/>
          <w:u w:val="single"/>
        </w:rPr>
        <w:t xml:space="preserve"> Primary</w:t>
      </w:r>
      <w:r w:rsidR="00A1266D">
        <w:rPr>
          <w:rFonts w:ascii="Arial" w:eastAsia="Comic Sans MS" w:hAnsi="Arial" w:cs="Arial"/>
          <w:b/>
          <w:u w:val="single"/>
        </w:rPr>
        <w:t xml:space="preserve"> School Sports Premium 2023-24</w:t>
      </w:r>
    </w:p>
    <w:p w14:paraId="7DB3AD0E" w14:textId="5F7A999B" w:rsidR="00C8754F" w:rsidRPr="00C8754F" w:rsidRDefault="00C8754F" w:rsidP="00C8754F">
      <w:pPr>
        <w:shd w:val="clear" w:color="auto" w:fill="FFFFFF"/>
        <w:spacing w:after="0" w:line="240" w:lineRule="auto"/>
        <w:ind w:right="465"/>
        <w:rPr>
          <w:rFonts w:ascii="Arial" w:eastAsia="Comic Sans MS" w:hAnsi="Arial" w:cs="Arial"/>
        </w:rPr>
      </w:pPr>
      <w:bookmarkStart w:id="1" w:name="_gjdgxs" w:colFirst="0" w:colLast="0"/>
      <w:bookmarkEnd w:id="1"/>
      <w:r w:rsidRPr="00C8754F">
        <w:rPr>
          <w:rFonts w:ascii="Arial" w:eastAsia="Comic Sans MS" w:hAnsi="Arial" w:cs="Arial"/>
        </w:rPr>
        <w:t>Our Sports Premium all</w:t>
      </w:r>
      <w:r w:rsidR="008F1465">
        <w:rPr>
          <w:rFonts w:ascii="Arial" w:eastAsia="Comic Sans MS" w:hAnsi="Arial" w:cs="Arial"/>
        </w:rPr>
        <w:t>o</w:t>
      </w:r>
      <w:r w:rsidR="006C29B9">
        <w:rPr>
          <w:rFonts w:ascii="Arial" w:eastAsia="Comic Sans MS" w:hAnsi="Arial" w:cs="Arial"/>
        </w:rPr>
        <w:t>wance for the academic year 2023-24</w:t>
      </w:r>
      <w:r w:rsidRPr="00C8754F">
        <w:rPr>
          <w:rFonts w:ascii="Arial" w:eastAsia="Comic Sans MS" w:hAnsi="Arial" w:cs="Arial"/>
        </w:rPr>
        <w:t xml:space="preserve"> is </w:t>
      </w:r>
      <w:r w:rsidRPr="004B1856">
        <w:rPr>
          <w:rFonts w:ascii="Arial" w:eastAsia="Comic Sans MS" w:hAnsi="Arial" w:cs="Arial"/>
          <w:b/>
          <w:highlight w:val="yellow"/>
        </w:rPr>
        <w:t>£</w:t>
      </w:r>
      <w:r w:rsidR="00F74122">
        <w:rPr>
          <w:rFonts w:ascii="Arial" w:eastAsia="Comic Sans MS" w:hAnsi="Arial" w:cs="Arial"/>
          <w:b/>
          <w:highlight w:val="yellow"/>
        </w:rPr>
        <w:t xml:space="preserve">16,000 </w:t>
      </w:r>
      <w:r w:rsidR="00F74122" w:rsidRPr="00F74122">
        <w:rPr>
          <w:rFonts w:ascii="Arial" w:eastAsia="Comic Sans MS" w:hAnsi="Arial" w:cs="Arial"/>
          <w:b/>
          <w:highlight w:val="yellow"/>
        </w:rPr>
        <w:t>PLUS £10 per pupil</w:t>
      </w:r>
      <w:r w:rsidRPr="00F74122">
        <w:rPr>
          <w:rFonts w:ascii="Arial" w:eastAsia="Comic Sans MS" w:hAnsi="Arial" w:cs="Arial"/>
          <w:highlight w:val="yellow"/>
        </w:rPr>
        <w:t>.</w:t>
      </w:r>
      <w:r w:rsidRPr="00C8754F">
        <w:rPr>
          <w:rFonts w:ascii="Arial" w:eastAsia="Comic Sans MS" w:hAnsi="Arial" w:cs="Arial"/>
        </w:rPr>
        <w:t xml:space="preserve"> The premium will be used to fund additional and sustainable improvements to the provision of PE and sport to encourage the development of healthy, active lifestyles. The Department for Education’s vision for the Primary PE and Sports Premium is that ALL pupils leaving primary school should be physically literate and with the knowledge, skills and motivation necessary to equip them for a healthy, active lifestyle and lifelong participation in physical activity and sport. </w:t>
      </w:r>
      <w:r w:rsidR="00DF4480" w:rsidRPr="00DF4480">
        <w:rPr>
          <w:rFonts w:ascii="Arial" w:eastAsia="Comic Sans MS" w:hAnsi="Arial" w:cs="Arial"/>
        </w:rPr>
        <w:t>We endeavour to see an improvement against the following 5 key indicators:</w:t>
      </w:r>
    </w:p>
    <w:p w14:paraId="3C33EE24" w14:textId="5EAFF138" w:rsidR="00741B80" w:rsidRPr="00C8754F" w:rsidRDefault="00741B80">
      <w:pPr>
        <w:rPr>
          <w:rFonts w:ascii="Arial" w:hAnsi="Arial" w:cs="Arial"/>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094"/>
        <w:gridCol w:w="3252"/>
        <w:gridCol w:w="2689"/>
        <w:gridCol w:w="2828"/>
        <w:gridCol w:w="2489"/>
      </w:tblGrid>
      <w:tr w:rsidR="00C8754F" w14:paraId="12702DBD" w14:textId="77777777" w:rsidTr="0039600A">
        <w:tc>
          <w:tcPr>
            <w:tcW w:w="15388" w:type="dxa"/>
            <w:gridSpan w:val="5"/>
            <w:shd w:val="clear" w:color="auto" w:fill="D9D9D9" w:themeFill="background1" w:themeFillShade="D9"/>
          </w:tcPr>
          <w:p w14:paraId="269A8F17" w14:textId="18B3D74B" w:rsidR="00C8754F" w:rsidRPr="00DF4480"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DF4480">
              <w:rPr>
                <w:rFonts w:ascii="Arial" w:hAnsi="Arial" w:cs="Arial"/>
                <w:b/>
              </w:rPr>
              <w:t>KEY INDICATORS</w:t>
            </w:r>
          </w:p>
        </w:tc>
      </w:tr>
      <w:tr w:rsidR="00C8754F" w14:paraId="417F5A2E" w14:textId="77777777" w:rsidTr="0039600A">
        <w:tc>
          <w:tcPr>
            <w:tcW w:w="4106" w:type="dxa"/>
          </w:tcPr>
          <w:p w14:paraId="749770F7" w14:textId="03002275" w:rsidR="00C8754F" w:rsidRDefault="00C8754F" w:rsidP="00004E98">
            <w:pPr>
              <w:pBdr>
                <w:top w:val="none" w:sz="0" w:space="0" w:color="auto"/>
                <w:left w:val="none" w:sz="0" w:space="0" w:color="auto"/>
                <w:bottom w:val="none" w:sz="0" w:space="0" w:color="auto"/>
                <w:right w:val="none" w:sz="0" w:space="0" w:color="auto"/>
                <w:between w:val="none" w:sz="0" w:space="0" w:color="auto"/>
              </w:pBdr>
              <w:tabs>
                <w:tab w:val="left" w:pos="971"/>
              </w:tabs>
              <w:rPr>
                <w:rFonts w:ascii="Arial" w:hAnsi="Arial" w:cs="Arial"/>
              </w:rPr>
            </w:pPr>
            <w:r w:rsidRPr="00C8754F">
              <w:rPr>
                <w:rFonts w:ascii="Arial" w:hAnsi="Arial" w:cs="Arial"/>
                <w:b/>
                <w:color w:val="FF0000"/>
              </w:rPr>
              <w:t>Indicator 1:</w:t>
            </w:r>
            <w:r w:rsidRPr="00C8754F">
              <w:rPr>
                <w:rFonts w:ascii="Arial" w:hAnsi="Arial" w:cs="Arial"/>
                <w:color w:val="FF0000"/>
              </w:rPr>
              <w:t xml:space="preserve"> </w:t>
            </w:r>
            <w:r w:rsidR="00004E98" w:rsidRPr="00D305CD">
              <w:rPr>
                <w:rFonts w:ascii="Arial" w:hAnsi="Arial" w:cs="Arial"/>
                <w:b/>
                <w:color w:val="auto"/>
              </w:rPr>
              <w:t xml:space="preserve">Increased confidence, knowledge and skills </w:t>
            </w:r>
            <w:r w:rsidR="00004E98">
              <w:rPr>
                <w:rFonts w:ascii="Arial" w:hAnsi="Arial" w:cs="Arial"/>
                <w:color w:val="auto"/>
              </w:rPr>
              <w:t>of all</w:t>
            </w:r>
            <w:r w:rsidRPr="00C8754F">
              <w:rPr>
                <w:rFonts w:ascii="Arial" w:hAnsi="Arial" w:cs="Arial"/>
              </w:rPr>
              <w:t xml:space="preserve"> </w:t>
            </w:r>
            <w:r w:rsidR="00004E98">
              <w:rPr>
                <w:rFonts w:ascii="Arial" w:hAnsi="Arial" w:cs="Arial"/>
              </w:rPr>
              <w:t>staff in teaching PE and sport.</w:t>
            </w:r>
          </w:p>
        </w:tc>
        <w:tc>
          <w:tcPr>
            <w:tcW w:w="3260" w:type="dxa"/>
          </w:tcPr>
          <w:p w14:paraId="70D5B49B" w14:textId="2CDDC2E7" w:rsidR="00C8754F" w:rsidRDefault="00C8754F" w:rsidP="00D305C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8754F">
              <w:rPr>
                <w:rFonts w:ascii="Arial" w:hAnsi="Arial" w:cs="Arial"/>
                <w:b/>
                <w:color w:val="FF0000"/>
              </w:rPr>
              <w:t>Indicator 2:</w:t>
            </w:r>
            <w:r w:rsidRPr="00C8754F">
              <w:rPr>
                <w:rFonts w:ascii="Arial" w:hAnsi="Arial" w:cs="Arial"/>
                <w:color w:val="FF0000"/>
              </w:rPr>
              <w:t xml:space="preserve"> </w:t>
            </w:r>
            <w:r w:rsidR="00D305CD" w:rsidRPr="00D305CD">
              <w:rPr>
                <w:b/>
              </w:rPr>
              <w:t>Engagement of all pupils</w:t>
            </w:r>
            <w:r w:rsidR="00D305CD">
              <w:t xml:space="preserve"> in regular physical activity</w:t>
            </w:r>
          </w:p>
        </w:tc>
        <w:tc>
          <w:tcPr>
            <w:tcW w:w="2694" w:type="dxa"/>
          </w:tcPr>
          <w:p w14:paraId="517E8855" w14:textId="5324E4C8" w:rsidR="00C8754F" w:rsidRDefault="00C8754F" w:rsidP="00D305C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8754F">
              <w:rPr>
                <w:rFonts w:ascii="Arial" w:hAnsi="Arial" w:cs="Arial"/>
                <w:b/>
                <w:color w:val="FF0000"/>
              </w:rPr>
              <w:t>Indicator 3:</w:t>
            </w:r>
            <w:r w:rsidRPr="00C8754F">
              <w:rPr>
                <w:rFonts w:ascii="Arial" w:hAnsi="Arial" w:cs="Arial"/>
                <w:color w:val="FF0000"/>
              </w:rPr>
              <w:t xml:space="preserve"> </w:t>
            </w:r>
            <w:r w:rsidR="00D305CD" w:rsidRPr="00D305CD">
              <w:rPr>
                <w:rFonts w:ascii="Arial" w:hAnsi="Arial" w:cs="Arial"/>
                <w:b/>
                <w:color w:val="auto"/>
              </w:rPr>
              <w:t>The profile of PE and sport is raised</w:t>
            </w:r>
            <w:r w:rsidR="00D305CD" w:rsidRPr="00D305CD">
              <w:rPr>
                <w:rFonts w:ascii="Arial" w:hAnsi="Arial" w:cs="Arial"/>
                <w:color w:val="auto"/>
              </w:rPr>
              <w:t xml:space="preserve"> across the school as a tool for whole school improvement</w:t>
            </w:r>
          </w:p>
        </w:tc>
        <w:tc>
          <w:tcPr>
            <w:tcW w:w="2835" w:type="dxa"/>
          </w:tcPr>
          <w:p w14:paraId="7E40FF9D" w14:textId="62509D99" w:rsidR="00C8754F"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8754F">
              <w:rPr>
                <w:rFonts w:ascii="Arial" w:hAnsi="Arial" w:cs="Arial"/>
                <w:b/>
                <w:color w:val="FF0000"/>
              </w:rPr>
              <w:t>Indicator 4:</w:t>
            </w:r>
            <w:r w:rsidRPr="00C8754F">
              <w:rPr>
                <w:rFonts w:ascii="Arial" w:hAnsi="Arial" w:cs="Arial"/>
                <w:color w:val="FF0000"/>
              </w:rPr>
              <w:t xml:space="preserve"> </w:t>
            </w:r>
            <w:r w:rsidRPr="00C8754F">
              <w:rPr>
                <w:rFonts w:ascii="Arial" w:hAnsi="Arial" w:cs="Arial"/>
              </w:rPr>
              <w:t xml:space="preserve">broader experience of a </w:t>
            </w:r>
            <w:r w:rsidRPr="00DF4480">
              <w:rPr>
                <w:rFonts w:ascii="Arial" w:hAnsi="Arial" w:cs="Arial"/>
                <w:b/>
              </w:rPr>
              <w:t>range of sports and activities</w:t>
            </w:r>
            <w:r w:rsidRPr="00C8754F">
              <w:rPr>
                <w:rFonts w:ascii="Arial" w:hAnsi="Arial" w:cs="Arial"/>
              </w:rPr>
              <w:t xml:space="preserve"> offered to all pupils</w:t>
            </w:r>
          </w:p>
        </w:tc>
        <w:tc>
          <w:tcPr>
            <w:tcW w:w="2493" w:type="dxa"/>
          </w:tcPr>
          <w:p w14:paraId="1E9B28F7" w14:textId="5A41B90B" w:rsidR="00C8754F"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8754F">
              <w:rPr>
                <w:rFonts w:ascii="Arial" w:hAnsi="Arial" w:cs="Arial"/>
                <w:b/>
                <w:color w:val="FF0000"/>
              </w:rPr>
              <w:t>Indicator 5:</w:t>
            </w:r>
            <w:r w:rsidRPr="00C8754F">
              <w:rPr>
                <w:rFonts w:ascii="Arial" w:hAnsi="Arial" w:cs="Arial"/>
                <w:color w:val="FF0000"/>
              </w:rPr>
              <w:t xml:space="preserve"> </w:t>
            </w:r>
            <w:r w:rsidRPr="00C8754F">
              <w:rPr>
                <w:rFonts w:ascii="Arial" w:hAnsi="Arial" w:cs="Arial"/>
              </w:rPr>
              <w:t xml:space="preserve">increased </w:t>
            </w:r>
            <w:r w:rsidRPr="00DF4480">
              <w:rPr>
                <w:rFonts w:ascii="Arial" w:hAnsi="Arial" w:cs="Arial"/>
                <w:b/>
              </w:rPr>
              <w:t>participation in competitive sport</w:t>
            </w:r>
          </w:p>
        </w:tc>
      </w:tr>
    </w:tbl>
    <w:p w14:paraId="1EC5D513" w14:textId="4453547F" w:rsidR="00C8754F" w:rsidRDefault="00C8754F">
      <w:pPr>
        <w:rPr>
          <w:rFonts w:ascii="Arial" w:hAnsi="Arial" w:cs="Arial"/>
        </w:rPr>
      </w:pPr>
    </w:p>
    <w:p w14:paraId="4BDD6E11" w14:textId="08D46B87" w:rsidR="00DF4480" w:rsidRDefault="00DF4480">
      <w:pPr>
        <w:rPr>
          <w:rFonts w:ascii="Arial" w:hAnsi="Arial" w:cs="Arial"/>
        </w:rPr>
      </w:pP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594"/>
        <w:gridCol w:w="482"/>
        <w:gridCol w:w="482"/>
        <w:gridCol w:w="482"/>
        <w:gridCol w:w="482"/>
        <w:gridCol w:w="482"/>
        <w:gridCol w:w="1331"/>
        <w:gridCol w:w="6017"/>
      </w:tblGrid>
      <w:tr w:rsidR="0056360E" w14:paraId="6AD4451D" w14:textId="77777777" w:rsidTr="006C29B9">
        <w:trPr>
          <w:jc w:val="center"/>
        </w:trPr>
        <w:tc>
          <w:tcPr>
            <w:tcW w:w="5594" w:type="dxa"/>
            <w:tcBorders>
              <w:top w:val="nil"/>
              <w:left w:val="nil"/>
              <w:bottom w:val="single" w:sz="18" w:space="0" w:color="auto"/>
              <w:right w:val="single" w:sz="18" w:space="0" w:color="auto"/>
            </w:tcBorders>
          </w:tcPr>
          <w:p w14:paraId="7CA26F01" w14:textId="77777777" w:rsidR="00DF4480" w:rsidRDefault="00DF4480">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c>
          <w:tcPr>
            <w:tcW w:w="2410"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0FD4B42" w14:textId="7B92F5EB"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KEY INDICATORS</w:t>
            </w:r>
          </w:p>
        </w:tc>
        <w:tc>
          <w:tcPr>
            <w:tcW w:w="1331" w:type="dxa"/>
            <w:tcBorders>
              <w:top w:val="nil"/>
              <w:left w:val="single" w:sz="18" w:space="0" w:color="auto"/>
              <w:bottom w:val="single" w:sz="18" w:space="0" w:color="auto"/>
              <w:right w:val="nil"/>
            </w:tcBorders>
          </w:tcPr>
          <w:p w14:paraId="603CE1FD" w14:textId="77777777" w:rsidR="00DF4480" w:rsidRDefault="00DF4480">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c>
          <w:tcPr>
            <w:tcW w:w="6017" w:type="dxa"/>
            <w:tcBorders>
              <w:top w:val="nil"/>
              <w:left w:val="nil"/>
              <w:bottom w:val="single" w:sz="18" w:space="0" w:color="auto"/>
              <w:right w:val="nil"/>
            </w:tcBorders>
          </w:tcPr>
          <w:p w14:paraId="1AB69DE6" w14:textId="77777777" w:rsidR="00DF4480" w:rsidRDefault="00DF4480">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r>
      <w:tr w:rsidR="00DF4480" w14:paraId="61EEB2F9" w14:textId="77777777" w:rsidTr="006C29B9">
        <w:trPr>
          <w:cantSplit/>
          <w:trHeight w:val="1462"/>
          <w:jc w:val="center"/>
        </w:trPr>
        <w:tc>
          <w:tcPr>
            <w:tcW w:w="5594" w:type="dxa"/>
            <w:tcBorders>
              <w:top w:val="single" w:sz="18" w:space="0" w:color="auto"/>
              <w:bottom w:val="single" w:sz="18" w:space="0" w:color="auto"/>
            </w:tcBorders>
            <w:vAlign w:val="center"/>
          </w:tcPr>
          <w:p w14:paraId="6C6C4B17" w14:textId="19CBEF0D" w:rsidR="00DF4480" w:rsidRPr="00DF4480" w:rsidRDefault="00DF4480" w:rsidP="00E3271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DF4480">
              <w:rPr>
                <w:rFonts w:ascii="Arial" w:hAnsi="Arial" w:cs="Arial"/>
                <w:b/>
              </w:rPr>
              <w:t>Programme or Initiative</w:t>
            </w:r>
          </w:p>
        </w:tc>
        <w:tc>
          <w:tcPr>
            <w:tcW w:w="482" w:type="dxa"/>
            <w:tcBorders>
              <w:top w:val="single" w:sz="18" w:space="0" w:color="auto"/>
              <w:bottom w:val="single" w:sz="18" w:space="0" w:color="auto"/>
            </w:tcBorders>
            <w:textDirection w:val="btLr"/>
          </w:tcPr>
          <w:p w14:paraId="11899E61" w14:textId="3CF375A2"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1</w:t>
            </w:r>
          </w:p>
        </w:tc>
        <w:tc>
          <w:tcPr>
            <w:tcW w:w="482" w:type="dxa"/>
            <w:tcBorders>
              <w:top w:val="single" w:sz="18" w:space="0" w:color="auto"/>
              <w:bottom w:val="single" w:sz="18" w:space="0" w:color="auto"/>
            </w:tcBorders>
            <w:textDirection w:val="btLr"/>
          </w:tcPr>
          <w:p w14:paraId="678DADCD" w14:textId="38767884"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2</w:t>
            </w:r>
          </w:p>
        </w:tc>
        <w:tc>
          <w:tcPr>
            <w:tcW w:w="482" w:type="dxa"/>
            <w:tcBorders>
              <w:top w:val="single" w:sz="18" w:space="0" w:color="auto"/>
              <w:bottom w:val="single" w:sz="18" w:space="0" w:color="auto"/>
            </w:tcBorders>
            <w:textDirection w:val="btLr"/>
          </w:tcPr>
          <w:p w14:paraId="41518503" w14:textId="23A77ABF"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3</w:t>
            </w:r>
          </w:p>
        </w:tc>
        <w:tc>
          <w:tcPr>
            <w:tcW w:w="482" w:type="dxa"/>
            <w:tcBorders>
              <w:top w:val="single" w:sz="18" w:space="0" w:color="auto"/>
              <w:bottom w:val="single" w:sz="18" w:space="0" w:color="auto"/>
            </w:tcBorders>
            <w:textDirection w:val="btLr"/>
          </w:tcPr>
          <w:p w14:paraId="6F68A15F" w14:textId="7EBA9B89"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4</w:t>
            </w:r>
          </w:p>
        </w:tc>
        <w:tc>
          <w:tcPr>
            <w:tcW w:w="482" w:type="dxa"/>
            <w:tcBorders>
              <w:top w:val="single" w:sz="18" w:space="0" w:color="auto"/>
              <w:bottom w:val="single" w:sz="18" w:space="0" w:color="auto"/>
            </w:tcBorders>
            <w:textDirection w:val="btLr"/>
          </w:tcPr>
          <w:p w14:paraId="1C03BF30" w14:textId="222F4347"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5</w:t>
            </w:r>
          </w:p>
        </w:tc>
        <w:tc>
          <w:tcPr>
            <w:tcW w:w="1331" w:type="dxa"/>
            <w:tcBorders>
              <w:top w:val="single" w:sz="18" w:space="0" w:color="auto"/>
              <w:bottom w:val="single" w:sz="18" w:space="0" w:color="auto"/>
            </w:tcBorders>
          </w:tcPr>
          <w:p w14:paraId="2E5C0373" w14:textId="77777777" w:rsidR="00DF4480" w:rsidRDefault="00DF4480" w:rsidP="00DF448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p w14:paraId="7D54FEB0" w14:textId="77777777" w:rsidR="00DF4480" w:rsidRDefault="00DF4480" w:rsidP="00DF448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p w14:paraId="56CA49B6" w14:textId="1AFD2A85"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DF4480">
              <w:rPr>
                <w:rFonts w:ascii="Arial" w:hAnsi="Arial" w:cs="Arial"/>
                <w:b/>
              </w:rPr>
              <w:t>Cost</w:t>
            </w:r>
          </w:p>
        </w:tc>
        <w:tc>
          <w:tcPr>
            <w:tcW w:w="6017" w:type="dxa"/>
            <w:tcBorders>
              <w:top w:val="single" w:sz="18" w:space="0" w:color="auto"/>
              <w:bottom w:val="single" w:sz="18" w:space="0" w:color="auto"/>
            </w:tcBorders>
            <w:vAlign w:val="center"/>
          </w:tcPr>
          <w:p w14:paraId="297AAA94" w14:textId="51F19156" w:rsidR="00DF4480" w:rsidRPr="00DF4480" w:rsidRDefault="00DF4480" w:rsidP="00E3271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DF4480">
              <w:rPr>
                <w:rFonts w:ascii="Arial" w:hAnsi="Arial" w:cs="Arial"/>
                <w:b/>
              </w:rPr>
              <w:t>Impact and Sustainability</w:t>
            </w:r>
          </w:p>
        </w:tc>
      </w:tr>
      <w:tr w:rsidR="00DF4480" w14:paraId="5B0895C9" w14:textId="77777777" w:rsidTr="006C29B9">
        <w:trPr>
          <w:jc w:val="center"/>
        </w:trPr>
        <w:tc>
          <w:tcPr>
            <w:tcW w:w="5594" w:type="dxa"/>
            <w:tcBorders>
              <w:top w:val="single" w:sz="18" w:space="0" w:color="auto"/>
            </w:tcBorders>
          </w:tcPr>
          <w:p w14:paraId="4849712E" w14:textId="77777777" w:rsidR="00233AFC" w:rsidRDefault="00233AFC">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233AFC">
              <w:rPr>
                <w:rFonts w:ascii="Arial" w:hAnsi="Arial" w:cs="Arial"/>
                <w:b/>
              </w:rPr>
              <w:t xml:space="preserve">Service Level Agreement with the Durham and </w:t>
            </w:r>
            <w:proofErr w:type="spellStart"/>
            <w:r w:rsidRPr="00233AFC">
              <w:rPr>
                <w:rFonts w:ascii="Arial" w:hAnsi="Arial" w:cs="Arial"/>
                <w:b/>
              </w:rPr>
              <w:t>Chester-le-Street</w:t>
            </w:r>
            <w:proofErr w:type="spellEnd"/>
            <w:r w:rsidRPr="00233AFC">
              <w:rPr>
                <w:rFonts w:ascii="Arial" w:hAnsi="Arial" w:cs="Arial"/>
                <w:b/>
              </w:rPr>
              <w:t xml:space="preserve"> School Sports Partnership </w:t>
            </w:r>
          </w:p>
          <w:p w14:paraId="6049C60F" w14:textId="77777777" w:rsidR="00233AFC" w:rsidRPr="00233AFC" w:rsidRDefault="00233AFC" w:rsidP="00233AF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33AFC">
              <w:rPr>
                <w:rFonts w:ascii="Arial" w:hAnsi="Arial" w:cs="Arial"/>
              </w:rPr>
              <w:t>Staff CPD</w:t>
            </w:r>
          </w:p>
          <w:p w14:paraId="19DD80BB" w14:textId="445664CD" w:rsidR="00233AFC" w:rsidRPr="00233AFC" w:rsidRDefault="00233AFC" w:rsidP="00233AF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rPr>
              <w:t>I</w:t>
            </w:r>
            <w:r w:rsidRPr="00233AFC">
              <w:rPr>
                <w:rFonts w:ascii="Arial" w:hAnsi="Arial" w:cs="Arial"/>
              </w:rPr>
              <w:t>nter-school competitions</w:t>
            </w:r>
            <w:r>
              <w:rPr>
                <w:rFonts w:ascii="Arial" w:hAnsi="Arial" w:cs="Arial"/>
              </w:rPr>
              <w:t xml:space="preserve"> and festivals</w:t>
            </w:r>
          </w:p>
          <w:p w14:paraId="714C6A1A" w14:textId="0F064C48" w:rsidR="00233AFC" w:rsidRPr="00233AFC" w:rsidRDefault="00233AFC" w:rsidP="00233AF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rPr>
              <w:t>St</w:t>
            </w:r>
            <w:r w:rsidR="00E32717">
              <w:rPr>
                <w:rFonts w:ascii="Arial" w:hAnsi="Arial" w:cs="Arial"/>
              </w:rPr>
              <w:t>ra</w:t>
            </w:r>
            <w:r>
              <w:rPr>
                <w:rFonts w:ascii="Arial" w:hAnsi="Arial" w:cs="Arial"/>
              </w:rPr>
              <w:t>tegic support for HT and PE Subject Leader</w:t>
            </w:r>
          </w:p>
          <w:p w14:paraId="25FC62D0" w14:textId="77777777" w:rsidR="00233AFC" w:rsidRPr="00233AFC" w:rsidRDefault="00233AFC" w:rsidP="00233AF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rPr>
              <w:t>G</w:t>
            </w:r>
            <w:r w:rsidRPr="00233AFC">
              <w:rPr>
                <w:rFonts w:ascii="Arial" w:hAnsi="Arial" w:cs="Arial"/>
              </w:rPr>
              <w:t xml:space="preserve">ifted &amp; talented </w:t>
            </w:r>
            <w:r>
              <w:rPr>
                <w:rFonts w:ascii="Arial" w:hAnsi="Arial" w:cs="Arial"/>
              </w:rPr>
              <w:t>support</w:t>
            </w:r>
          </w:p>
          <w:p w14:paraId="1848AAFF" w14:textId="77777777" w:rsidR="00DF4480" w:rsidRPr="00E32717" w:rsidRDefault="00233AFC" w:rsidP="00233AF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rPr>
              <w:t>Online PE and sport resources</w:t>
            </w:r>
            <w:r w:rsidRPr="00233AFC">
              <w:rPr>
                <w:rFonts w:ascii="Arial" w:hAnsi="Arial" w:cs="Arial"/>
              </w:rPr>
              <w:t xml:space="preserve">  </w:t>
            </w:r>
          </w:p>
          <w:p w14:paraId="163931C6" w14:textId="77777777" w:rsidR="007F6F7A" w:rsidRDefault="007F6F7A" w:rsidP="007F6F7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F6F7A">
              <w:rPr>
                <w:rFonts w:ascii="Arial" w:hAnsi="Arial" w:cs="Arial"/>
              </w:rPr>
              <w:t>18 hours of support by a Dance coach (12 hours of curriculum coaching to take place on an afternoon plus 6 hours of extra-curricular coaching to take place afterschool) (KS1/KS2)</w:t>
            </w:r>
          </w:p>
          <w:p w14:paraId="78322579" w14:textId="77777777" w:rsidR="007F6F7A" w:rsidRDefault="007F6F7A" w:rsidP="007F6F7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F6F7A">
              <w:rPr>
                <w:rFonts w:ascii="Arial" w:hAnsi="Arial" w:cs="Arial"/>
              </w:rPr>
              <w:t xml:space="preserve">School Games Mark Intra-School Competition - This programme is to help schools provide leadership and in-school competition </w:t>
            </w:r>
            <w:r w:rsidRPr="007F6F7A">
              <w:rPr>
                <w:rFonts w:ascii="Arial" w:hAnsi="Arial" w:cs="Arial"/>
              </w:rPr>
              <w:lastRenderedPageBreak/>
              <w:t>opportunities which will help with your School Games Mark application. It will consist of 1 full day and 4 half-days of SSP support. (KS1/KS2)</w:t>
            </w:r>
          </w:p>
          <w:p w14:paraId="2827B309" w14:textId="77777777" w:rsidR="007F6F7A" w:rsidRDefault="007F6F7A" w:rsidP="007F6F7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F6F7A">
              <w:rPr>
                <w:rFonts w:ascii="Arial" w:hAnsi="Arial" w:cs="Arial"/>
              </w:rPr>
              <w:t xml:space="preserve">Walk and Talk - Six weekly outdoor sessions which includes competitive and non-competitive activities providing opportunities for pupils to positively engage together in problem solving and team building challenges, promoting pupil’s mental, physical and emotional literacy and improve their self-esteem, motivation and confidence. Also includes a school visit from an </w:t>
            </w:r>
            <w:proofErr w:type="spellStart"/>
            <w:r w:rsidRPr="007F6F7A">
              <w:rPr>
                <w:rFonts w:ascii="Arial" w:hAnsi="Arial" w:cs="Arial"/>
              </w:rPr>
              <w:t>Invictus</w:t>
            </w:r>
            <w:proofErr w:type="spellEnd"/>
            <w:r w:rsidRPr="007F6F7A">
              <w:rPr>
                <w:rFonts w:ascii="Arial" w:hAnsi="Arial" w:cs="Arial"/>
              </w:rPr>
              <w:t xml:space="preserve"> Games Athlete/ at 1st session to help launch the programme (Year 5/6)</w:t>
            </w:r>
            <w:r w:rsidR="00F74122" w:rsidRPr="00F74122">
              <w:rPr>
                <w:rFonts w:ascii="Arial" w:hAnsi="Arial" w:cs="Arial"/>
              </w:rPr>
              <w:tab/>
            </w:r>
          </w:p>
          <w:p w14:paraId="35B1FD38" w14:textId="77777777" w:rsidR="003112A6" w:rsidRDefault="007F6F7A" w:rsidP="007F6F7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F6F7A">
              <w:rPr>
                <w:rFonts w:ascii="Arial" w:hAnsi="Arial" w:cs="Arial"/>
              </w:rPr>
              <w:t>Colour Fun Run -1 half day fun run organised and delivered on your school site by SSP staff. (KS1/KS2)</w:t>
            </w:r>
          </w:p>
          <w:p w14:paraId="1D54F80A" w14:textId="2709E1B5" w:rsidR="007F6F7A" w:rsidRPr="004D4480" w:rsidRDefault="007F6F7A" w:rsidP="007F6F7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F6F7A">
              <w:rPr>
                <w:rFonts w:ascii="Arial" w:hAnsi="Arial" w:cs="Arial"/>
              </w:rPr>
              <w:t>Playground Leadership Training - A member of the SSP will spend a morning training up playground leaders and then support them in delivering some activities across the lunch break (KS1/KS2)</w:t>
            </w:r>
          </w:p>
        </w:tc>
        <w:tc>
          <w:tcPr>
            <w:tcW w:w="482" w:type="dxa"/>
            <w:tcBorders>
              <w:top w:val="single" w:sz="18" w:space="0" w:color="auto"/>
            </w:tcBorders>
            <w:vAlign w:val="center"/>
          </w:tcPr>
          <w:p w14:paraId="5FBC5B97" w14:textId="4FD5B1F9" w:rsidR="00DF4480" w:rsidRPr="00233AFC" w:rsidRDefault="00233AFC">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lastRenderedPageBreak/>
              <w:t>Y</w:t>
            </w:r>
          </w:p>
        </w:tc>
        <w:tc>
          <w:tcPr>
            <w:tcW w:w="482" w:type="dxa"/>
            <w:tcBorders>
              <w:top w:val="single" w:sz="18" w:space="0" w:color="auto"/>
            </w:tcBorders>
            <w:vAlign w:val="center"/>
          </w:tcPr>
          <w:p w14:paraId="5812A664" w14:textId="541970B4" w:rsidR="00DF4480" w:rsidRPr="00233AFC" w:rsidRDefault="00233AFC">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18" w:space="0" w:color="auto"/>
            </w:tcBorders>
            <w:vAlign w:val="center"/>
          </w:tcPr>
          <w:p w14:paraId="5E8631CD" w14:textId="6F057BA9" w:rsidR="00DF4480" w:rsidRPr="00233AFC" w:rsidRDefault="00233AFC">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18" w:space="0" w:color="auto"/>
            </w:tcBorders>
            <w:vAlign w:val="center"/>
          </w:tcPr>
          <w:p w14:paraId="5D317FC1" w14:textId="4065ED2B" w:rsidR="00DF4480" w:rsidRPr="00233AFC" w:rsidRDefault="00233AFC">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18" w:space="0" w:color="auto"/>
            </w:tcBorders>
            <w:vAlign w:val="center"/>
          </w:tcPr>
          <w:p w14:paraId="4EFEF9BC" w14:textId="21485E51" w:rsidR="00DF4480" w:rsidRPr="00D53FD8" w:rsidRDefault="00233AFC">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D53FD8">
              <w:rPr>
                <w:rFonts w:ascii="Arial" w:hAnsi="Arial" w:cs="Arial"/>
                <w:b/>
              </w:rPr>
              <w:t>Y</w:t>
            </w:r>
          </w:p>
        </w:tc>
        <w:tc>
          <w:tcPr>
            <w:tcW w:w="1331" w:type="dxa"/>
            <w:tcBorders>
              <w:top w:val="single" w:sz="18" w:space="0" w:color="auto"/>
            </w:tcBorders>
            <w:vAlign w:val="center"/>
          </w:tcPr>
          <w:p w14:paraId="26BF8D58" w14:textId="1BFC5E31" w:rsidR="00DF4480" w:rsidRPr="00D53FD8" w:rsidRDefault="00D53FD8" w:rsidP="004B185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F74122">
              <w:rPr>
                <w:rFonts w:ascii="Arial" w:hAnsi="Arial" w:cs="Arial"/>
                <w:b/>
              </w:rPr>
              <w:t>£</w:t>
            </w:r>
            <w:r w:rsidR="006C29B9">
              <w:rPr>
                <w:rFonts w:ascii="Arial" w:hAnsi="Arial" w:cs="Arial"/>
                <w:b/>
              </w:rPr>
              <w:t>58</w:t>
            </w:r>
            <w:r w:rsidR="00F74122" w:rsidRPr="00F74122">
              <w:rPr>
                <w:rFonts w:ascii="Arial" w:hAnsi="Arial" w:cs="Arial"/>
                <w:b/>
              </w:rPr>
              <w:t>00</w:t>
            </w:r>
          </w:p>
        </w:tc>
        <w:tc>
          <w:tcPr>
            <w:tcW w:w="6017" w:type="dxa"/>
            <w:tcBorders>
              <w:top w:val="single" w:sz="18" w:space="0" w:color="auto"/>
            </w:tcBorders>
          </w:tcPr>
          <w:p w14:paraId="1D9E3FF7" w14:textId="6DFE00FE" w:rsidR="008669B2" w:rsidRPr="008669B2" w:rsidRDefault="008669B2" w:rsidP="006C29B9">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p>
        </w:tc>
      </w:tr>
      <w:tr w:rsidR="0030390E" w14:paraId="3EDD728C" w14:textId="77777777" w:rsidTr="006C29B9">
        <w:trPr>
          <w:jc w:val="center"/>
        </w:trPr>
        <w:tc>
          <w:tcPr>
            <w:tcW w:w="5594" w:type="dxa"/>
          </w:tcPr>
          <w:p w14:paraId="53D8B43B" w14:textId="4B651729" w:rsidR="00770984" w:rsidRPr="00014BC6" w:rsidRDefault="00770984" w:rsidP="00770984">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b/>
                <w:bCs/>
              </w:rPr>
              <w:t>Kingswood (Year 6 trip)</w:t>
            </w:r>
          </w:p>
          <w:p w14:paraId="11C5E6F9" w14:textId="66281F4F" w:rsidR="0030390E" w:rsidRPr="00014BC6"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c>
          <w:tcPr>
            <w:tcW w:w="482" w:type="dxa"/>
            <w:vAlign w:val="center"/>
          </w:tcPr>
          <w:p w14:paraId="703AAA0F" w14:textId="485EEF11" w:rsidR="0030390E"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159AE5DB" w14:textId="1C48E4AD" w:rsidR="0030390E"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7270C551" w14:textId="35EB46DF" w:rsidR="0030390E" w:rsidRPr="00233AFC" w:rsidRDefault="00D305CD"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6B4EAE8E" w14:textId="7D063DF5" w:rsidR="0030390E"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448B80C9" w14:textId="39D67290" w:rsidR="0030390E" w:rsidRPr="00233AFC"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1" w:type="dxa"/>
            <w:vAlign w:val="center"/>
          </w:tcPr>
          <w:p w14:paraId="36D87AF5" w14:textId="20FC531A" w:rsidR="0030390E" w:rsidRPr="005541A1" w:rsidRDefault="005F3D0A" w:rsidP="00D0369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£3000</w:t>
            </w:r>
          </w:p>
        </w:tc>
        <w:tc>
          <w:tcPr>
            <w:tcW w:w="6017" w:type="dxa"/>
          </w:tcPr>
          <w:p w14:paraId="55A7C0CA" w14:textId="11526983" w:rsidR="004B1856" w:rsidRPr="00EF6714" w:rsidRDefault="004B1856" w:rsidP="004B1856">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p>
          <w:p w14:paraId="29F1DDF9" w14:textId="30080C2F" w:rsidR="002234FA" w:rsidRPr="00EF6714" w:rsidRDefault="002234FA" w:rsidP="002234FA">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p>
        </w:tc>
      </w:tr>
      <w:tr w:rsidR="0030390E" w14:paraId="5881548A" w14:textId="77777777" w:rsidTr="006C29B9">
        <w:trPr>
          <w:jc w:val="center"/>
        </w:trPr>
        <w:tc>
          <w:tcPr>
            <w:tcW w:w="5594" w:type="dxa"/>
          </w:tcPr>
          <w:p w14:paraId="14E12C83" w14:textId="48E5F77E" w:rsidR="0030390E" w:rsidRPr="00CB4424"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CB4424">
              <w:rPr>
                <w:rFonts w:ascii="Arial" w:hAnsi="Arial" w:cs="Arial"/>
                <w:b/>
                <w:bCs/>
              </w:rPr>
              <w:t>Fundamental Movement Skills Programme</w:t>
            </w:r>
          </w:p>
          <w:p w14:paraId="11FF60F7" w14:textId="77777777" w:rsidR="006C29B9" w:rsidRDefault="006C29B9" w:rsidP="006C29B9">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6C29B9">
              <w:rPr>
                <w:rFonts w:ascii="Arial" w:hAnsi="Arial" w:cs="Arial"/>
                <w:b/>
              </w:rPr>
              <w:t>Delivering weekly PE curriculum for KS2</w:t>
            </w:r>
          </w:p>
          <w:p w14:paraId="102C0951" w14:textId="77777777" w:rsidR="006C29B9" w:rsidRDefault="006C29B9" w:rsidP="006C29B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C61A1">
              <w:rPr>
                <w:rFonts w:ascii="Arial" w:hAnsi="Arial" w:cs="Arial"/>
              </w:rPr>
              <w:t>Programme focused on developing fundamental movement which will allow pupils to access the PE Curriculum/Sporting activities in future years</w:t>
            </w:r>
          </w:p>
          <w:p w14:paraId="2649B809" w14:textId="47750B1D" w:rsidR="006C29B9" w:rsidRPr="006C29B9" w:rsidRDefault="006C29B9" w:rsidP="006C29B9">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7525F3E1" w14:textId="3A269A2A" w:rsidR="0030390E"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4C09EAEF" w14:textId="77777777" w:rsidR="0030390E"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3386B7C1" w14:textId="75F51C1D" w:rsidR="0030390E" w:rsidRPr="00233AFC"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5244344A" w14:textId="57448317" w:rsidR="0030390E"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1D96D82C" w14:textId="4B3C5163" w:rsidR="0030390E" w:rsidRPr="00233AFC"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1" w:type="dxa"/>
            <w:vAlign w:val="center"/>
          </w:tcPr>
          <w:p w14:paraId="3EEFC8EE" w14:textId="41486697" w:rsidR="0030390E" w:rsidRPr="005541A1" w:rsidRDefault="0030390E" w:rsidP="00D0369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933087">
              <w:rPr>
                <w:rFonts w:ascii="Arial" w:hAnsi="Arial" w:cs="Arial"/>
                <w:b/>
              </w:rPr>
              <w:t>£</w:t>
            </w:r>
            <w:r w:rsidR="004B1856">
              <w:rPr>
                <w:rFonts w:ascii="Arial" w:hAnsi="Arial" w:cs="Arial"/>
                <w:b/>
              </w:rPr>
              <w:t>2000</w:t>
            </w:r>
          </w:p>
        </w:tc>
        <w:tc>
          <w:tcPr>
            <w:tcW w:w="6017" w:type="dxa"/>
          </w:tcPr>
          <w:p w14:paraId="19AA7BE4" w14:textId="6A531069" w:rsidR="002234FA" w:rsidRDefault="002234FA"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 xml:space="preserve">Adults to deliver weekly sessions to children who may struggle with fine and gross motor skills </w:t>
            </w:r>
          </w:p>
          <w:p w14:paraId="4ED37C23" w14:textId="5928FD69" w:rsidR="00827172" w:rsidRDefault="00827172"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w:t>
            </w:r>
          </w:p>
          <w:p w14:paraId="3A1E2CEF" w14:textId="77777777" w:rsidR="00A242CF" w:rsidRDefault="00A242CF"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Cs w:val="32"/>
              </w:rPr>
            </w:pPr>
            <w:r>
              <w:rPr>
                <w:rFonts w:ascii="Arial" w:hAnsi="Arial" w:cs="Arial"/>
                <w:color w:val="FF0000"/>
                <w:szCs w:val="32"/>
              </w:rPr>
              <w:t xml:space="preserve">All children from Rec to Y6 </w:t>
            </w:r>
            <w:r w:rsidR="00813B9E">
              <w:rPr>
                <w:rFonts w:ascii="Arial" w:hAnsi="Arial" w:cs="Arial"/>
                <w:color w:val="FF0000"/>
                <w:szCs w:val="32"/>
              </w:rPr>
              <w:t xml:space="preserve">given the </w:t>
            </w:r>
            <w:r>
              <w:rPr>
                <w:rFonts w:ascii="Arial" w:hAnsi="Arial" w:cs="Arial"/>
                <w:color w:val="FF0000"/>
                <w:szCs w:val="32"/>
              </w:rPr>
              <w:t>opportunity to be involved.</w:t>
            </w:r>
          </w:p>
          <w:p w14:paraId="0FFC2E1A" w14:textId="12442AE5" w:rsidR="00A1266D" w:rsidRPr="00A242CF" w:rsidRDefault="00A1266D"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Cs w:val="32"/>
              </w:rPr>
            </w:pPr>
          </w:p>
        </w:tc>
      </w:tr>
      <w:tr w:rsidR="004D4480" w14:paraId="53AB4406" w14:textId="77777777" w:rsidTr="006C29B9">
        <w:trPr>
          <w:jc w:val="center"/>
        </w:trPr>
        <w:tc>
          <w:tcPr>
            <w:tcW w:w="5594" w:type="dxa"/>
          </w:tcPr>
          <w:p w14:paraId="61F76D46" w14:textId="6D4E385E" w:rsidR="004D4480" w:rsidRDefault="00C306D3" w:rsidP="00C306D3">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Pr>
                <w:rFonts w:ascii="Arial" w:hAnsi="Arial" w:cs="Arial"/>
                <w:b/>
                <w:bCs/>
              </w:rPr>
              <w:t>Sports Equipment</w:t>
            </w:r>
          </w:p>
          <w:p w14:paraId="77CB2B9D" w14:textId="6618AD5E" w:rsidR="00297D3A" w:rsidRDefault="00297D3A" w:rsidP="00C306D3">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Pr>
                <w:rFonts w:ascii="Arial" w:hAnsi="Arial" w:cs="Arial"/>
                <w:b/>
                <w:bCs/>
              </w:rPr>
              <w:t>Smart/ Earth</w:t>
            </w:r>
          </w:p>
          <w:p w14:paraId="5BBFEF5A" w14:textId="4FBA5569" w:rsidR="00297D3A" w:rsidRDefault="00297D3A" w:rsidP="00C306D3">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Pr>
                <w:rFonts w:ascii="Arial" w:hAnsi="Arial" w:cs="Arial"/>
                <w:b/>
                <w:bCs/>
              </w:rPr>
              <w:t>PE Cupboard Stock</w:t>
            </w:r>
          </w:p>
          <w:p w14:paraId="4A08A756" w14:textId="280F4E8B" w:rsidR="00C306D3" w:rsidRDefault="006C29B9" w:rsidP="00C306D3">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Pr>
                <w:rFonts w:ascii="Arial" w:hAnsi="Arial" w:cs="Arial"/>
                <w:b/>
                <w:bCs/>
              </w:rPr>
              <w:t>EYFS outdoors</w:t>
            </w:r>
          </w:p>
          <w:p w14:paraId="3A25D531" w14:textId="31F7A685" w:rsidR="00C306D3" w:rsidRPr="00C306D3" w:rsidRDefault="00C306D3" w:rsidP="00C306D3">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p>
        </w:tc>
        <w:tc>
          <w:tcPr>
            <w:tcW w:w="482" w:type="dxa"/>
            <w:vAlign w:val="center"/>
          </w:tcPr>
          <w:p w14:paraId="58709244" w14:textId="2BC4ACE7" w:rsidR="004D4480" w:rsidRPr="00233AFC" w:rsidRDefault="004D4480"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71A80FE5" w14:textId="3A31407E" w:rsidR="004D4480" w:rsidRPr="00233AFC" w:rsidRDefault="003A22A7"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5776B22F" w14:textId="0E83E9A2" w:rsidR="004D4480" w:rsidRDefault="003A22A7"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7F9EA7C9" w14:textId="66716516" w:rsidR="004D4480" w:rsidRPr="00233AFC" w:rsidRDefault="004D4480"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0497CDBF" w14:textId="769B2D99" w:rsidR="004D4480" w:rsidRPr="00233AFC" w:rsidRDefault="003A22A7"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1" w:type="dxa"/>
            <w:vAlign w:val="center"/>
          </w:tcPr>
          <w:p w14:paraId="014F7E45" w14:textId="7BFFF56F" w:rsidR="004B1856" w:rsidRDefault="00C306D3" w:rsidP="004B185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w:t>
            </w:r>
            <w:r w:rsidR="00D305CD" w:rsidRPr="00D305CD">
              <w:rPr>
                <w:rFonts w:ascii="Arial" w:hAnsi="Arial" w:cs="Arial"/>
                <w:b/>
                <w:highlight w:val="green"/>
              </w:rPr>
              <w:t>4,681</w:t>
            </w:r>
          </w:p>
          <w:p w14:paraId="4EBCD873" w14:textId="3D789E71" w:rsidR="00440A36" w:rsidRDefault="00440A36" w:rsidP="00D0369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17" w:type="dxa"/>
          </w:tcPr>
          <w:p w14:paraId="3DC8993B" w14:textId="021DF0F3" w:rsidR="00EE3DDC" w:rsidRPr="00EF6714" w:rsidRDefault="00EE3DDC"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p>
        </w:tc>
      </w:tr>
      <w:tr w:rsidR="00EC20D5" w14:paraId="1BDBF267" w14:textId="77777777" w:rsidTr="006C29B9">
        <w:trPr>
          <w:jc w:val="center"/>
        </w:trPr>
        <w:tc>
          <w:tcPr>
            <w:tcW w:w="5594" w:type="dxa"/>
          </w:tcPr>
          <w:p w14:paraId="46874F1A" w14:textId="0327DA16" w:rsidR="00EC20D5" w:rsidRPr="003E4FFA" w:rsidRDefault="00EC20D5" w:rsidP="00780993">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rPr>
            </w:pPr>
            <w:r w:rsidRPr="003E4FFA">
              <w:rPr>
                <w:rFonts w:ascii="Arial" w:hAnsi="Arial" w:cs="Arial"/>
                <w:b/>
                <w:bCs/>
                <w:color w:val="auto"/>
              </w:rPr>
              <w:t>Transport</w:t>
            </w:r>
          </w:p>
          <w:p w14:paraId="4DE59117" w14:textId="2940FE96" w:rsidR="00EC20D5" w:rsidRPr="00D03697" w:rsidRDefault="00EC20D5" w:rsidP="00EC20D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bCs/>
              </w:rPr>
            </w:pPr>
            <w:r w:rsidRPr="003E4FFA">
              <w:rPr>
                <w:rFonts w:ascii="Arial" w:hAnsi="Arial" w:cs="Arial"/>
                <w:bCs/>
                <w:color w:val="auto"/>
              </w:rPr>
              <w:t>Enable students to travel to events, competitions and sports trips</w:t>
            </w:r>
          </w:p>
        </w:tc>
        <w:tc>
          <w:tcPr>
            <w:tcW w:w="482" w:type="dxa"/>
            <w:vAlign w:val="center"/>
          </w:tcPr>
          <w:p w14:paraId="7AFC04E1" w14:textId="15C690C9" w:rsidR="00EC20D5" w:rsidRPr="00D03697" w:rsidRDefault="00EC20D5"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315430AA" w14:textId="77777777" w:rsidR="00EC20D5" w:rsidRPr="00D03697" w:rsidRDefault="00EC20D5"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05DBA63B" w14:textId="7DAD2617" w:rsidR="00EC20D5" w:rsidRPr="00D03697" w:rsidRDefault="003A22A7"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5684C8F3" w14:textId="57638723" w:rsidR="00EC20D5" w:rsidRPr="00D03697" w:rsidRDefault="00AC73AC"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D03697">
              <w:rPr>
                <w:rFonts w:ascii="Arial" w:hAnsi="Arial" w:cs="Arial"/>
                <w:b/>
              </w:rPr>
              <w:t>Y</w:t>
            </w:r>
          </w:p>
        </w:tc>
        <w:tc>
          <w:tcPr>
            <w:tcW w:w="482" w:type="dxa"/>
            <w:vAlign w:val="center"/>
          </w:tcPr>
          <w:p w14:paraId="3F1DEFDD" w14:textId="20442B0D" w:rsidR="00EC20D5" w:rsidRPr="00D03697" w:rsidRDefault="00AC73AC"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D03697">
              <w:rPr>
                <w:rFonts w:ascii="Arial" w:hAnsi="Arial" w:cs="Arial"/>
                <w:b/>
              </w:rPr>
              <w:t>Y</w:t>
            </w:r>
          </w:p>
        </w:tc>
        <w:tc>
          <w:tcPr>
            <w:tcW w:w="1331" w:type="dxa"/>
            <w:vAlign w:val="center"/>
          </w:tcPr>
          <w:p w14:paraId="7A87C61A" w14:textId="650CCAB9" w:rsidR="00933087" w:rsidRPr="00D03697" w:rsidRDefault="006C29B9" w:rsidP="00CB23B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£2500</w:t>
            </w:r>
          </w:p>
        </w:tc>
        <w:tc>
          <w:tcPr>
            <w:tcW w:w="6017" w:type="dxa"/>
          </w:tcPr>
          <w:p w14:paraId="390CC3A9" w14:textId="77777777" w:rsidR="00EC20D5" w:rsidRDefault="00706311" w:rsidP="00D03697">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Transport used to take children to events, competitions and outdoor learning trip.</w:t>
            </w:r>
          </w:p>
          <w:p w14:paraId="45C7C4F6" w14:textId="51B15E50" w:rsidR="00440A36" w:rsidRPr="00D03697" w:rsidRDefault="00440A36" w:rsidP="00D03697">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r>
      <w:tr w:rsidR="003E4FFA" w14:paraId="23D97E48" w14:textId="77777777" w:rsidTr="006C29B9">
        <w:trPr>
          <w:jc w:val="center"/>
        </w:trPr>
        <w:tc>
          <w:tcPr>
            <w:tcW w:w="5594" w:type="dxa"/>
          </w:tcPr>
          <w:p w14:paraId="45B2261D" w14:textId="5E6CFAFA" w:rsidR="003E4FFA" w:rsidRPr="008A7A8A" w:rsidRDefault="003E4FFA" w:rsidP="00780993">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rPr>
            </w:pPr>
            <w:r w:rsidRPr="008A7A8A">
              <w:rPr>
                <w:rFonts w:ascii="Arial" w:hAnsi="Arial" w:cs="Arial"/>
                <w:b/>
                <w:bCs/>
                <w:color w:val="auto"/>
              </w:rPr>
              <w:t>School Logo Medals</w:t>
            </w:r>
          </w:p>
          <w:p w14:paraId="03C78E7B" w14:textId="6A2DD911" w:rsidR="003E4FFA" w:rsidRPr="003E4FFA" w:rsidRDefault="003E4FFA" w:rsidP="003E4FF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bCs/>
                <w:color w:val="auto"/>
              </w:rPr>
            </w:pPr>
            <w:r w:rsidRPr="008A7A8A">
              <w:rPr>
                <w:rFonts w:ascii="Arial" w:hAnsi="Arial" w:cs="Arial"/>
                <w:bCs/>
                <w:color w:val="auto"/>
              </w:rPr>
              <w:t>100 school logo heavy duty medals with ribbon</w:t>
            </w:r>
          </w:p>
        </w:tc>
        <w:tc>
          <w:tcPr>
            <w:tcW w:w="482" w:type="dxa"/>
            <w:vAlign w:val="center"/>
          </w:tcPr>
          <w:p w14:paraId="19B1B95C" w14:textId="77777777" w:rsidR="003E4FFA" w:rsidRPr="00D03697" w:rsidRDefault="003E4FFA"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5220CC7F" w14:textId="700ACD9D" w:rsidR="003E4FFA" w:rsidRPr="00D03697" w:rsidRDefault="003E4FFA"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4F520851" w14:textId="697EE569" w:rsidR="003E4FFA" w:rsidRPr="00D03697" w:rsidRDefault="003A22A7"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1915DFA6" w14:textId="77777777" w:rsidR="003E4FFA" w:rsidRPr="00D03697" w:rsidRDefault="003E4FFA"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77319D12" w14:textId="4433E435" w:rsidR="003E4FFA" w:rsidRPr="00D03697" w:rsidRDefault="003A22A7"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1" w:type="dxa"/>
            <w:vAlign w:val="center"/>
          </w:tcPr>
          <w:p w14:paraId="4563BD77" w14:textId="75FB070D" w:rsidR="003E4FFA" w:rsidRDefault="004B1856" w:rsidP="003039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£200</w:t>
            </w:r>
          </w:p>
        </w:tc>
        <w:tc>
          <w:tcPr>
            <w:tcW w:w="6017" w:type="dxa"/>
          </w:tcPr>
          <w:p w14:paraId="1E6856DF" w14:textId="1C7BFA35" w:rsidR="003E4FFA" w:rsidRPr="00D03697" w:rsidRDefault="00C306D3" w:rsidP="004B1856">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Medals giv</w:t>
            </w:r>
            <w:r w:rsidR="00440A36">
              <w:rPr>
                <w:rFonts w:ascii="Arial" w:hAnsi="Arial" w:cs="Arial"/>
              </w:rPr>
              <w:t>en to every child on Sports Day</w:t>
            </w:r>
          </w:p>
        </w:tc>
      </w:tr>
    </w:tbl>
    <w:p w14:paraId="62B8ED35" w14:textId="77777777" w:rsidR="00073905" w:rsidRDefault="00073905" w:rsidP="00FD1193">
      <w:pPr>
        <w:rPr>
          <w:rFonts w:ascii="Arial" w:hAnsi="Arial" w:cs="Arial"/>
          <w:b/>
          <w:bCs/>
        </w:rPr>
      </w:pPr>
    </w:p>
    <w:p w14:paraId="4524B9D6" w14:textId="1BA2D18D" w:rsidR="00D03697" w:rsidRDefault="00770984" w:rsidP="00FD1193">
      <w:pPr>
        <w:rPr>
          <w:rFonts w:ascii="Arial" w:hAnsi="Arial" w:cs="Arial"/>
          <w:b/>
          <w:bCs/>
        </w:rPr>
      </w:pPr>
      <w:r>
        <w:rPr>
          <w:rFonts w:ascii="Arial" w:hAnsi="Arial" w:cs="Arial"/>
          <w:b/>
          <w:bCs/>
        </w:rPr>
        <w:t xml:space="preserve">Total Planned Spend: </w:t>
      </w:r>
      <w:r w:rsidR="00855EED">
        <w:rPr>
          <w:rFonts w:ascii="Arial" w:hAnsi="Arial" w:cs="Arial"/>
          <w:b/>
          <w:bCs/>
          <w:highlight w:val="yellow"/>
        </w:rPr>
        <w:t>£</w:t>
      </w:r>
      <w:r w:rsidR="00F74122">
        <w:rPr>
          <w:rFonts w:ascii="Arial" w:hAnsi="Arial" w:cs="Arial"/>
          <w:b/>
          <w:bCs/>
          <w:highlight w:val="yellow"/>
        </w:rPr>
        <w:t>16,8</w:t>
      </w:r>
      <w:r w:rsidR="004B1856" w:rsidRPr="004B1856">
        <w:rPr>
          <w:rFonts w:ascii="Arial" w:hAnsi="Arial" w:cs="Arial"/>
          <w:b/>
          <w:bCs/>
          <w:highlight w:val="yellow"/>
        </w:rPr>
        <w:t>00</w:t>
      </w:r>
    </w:p>
    <w:p w14:paraId="5D9492E0" w14:textId="7C176588" w:rsidR="00004E98" w:rsidRDefault="00004E98" w:rsidP="00FD1193">
      <w:pPr>
        <w:rPr>
          <w:rFonts w:ascii="Arial" w:hAnsi="Arial" w:cs="Arial"/>
          <w:b/>
          <w:bCs/>
        </w:rPr>
      </w:pPr>
      <w:r>
        <w:rPr>
          <w:rFonts w:ascii="Arial" w:hAnsi="Arial" w:cs="Arial"/>
          <w:b/>
          <w:bCs/>
        </w:rPr>
        <w:t xml:space="preserve">Left over spends from 2022/23: </w:t>
      </w:r>
      <w:r w:rsidRPr="00004E98">
        <w:rPr>
          <w:rFonts w:ascii="Arial" w:hAnsi="Arial" w:cs="Arial"/>
          <w:b/>
          <w:bCs/>
          <w:highlight w:val="green"/>
        </w:rPr>
        <w:t>£1181</w:t>
      </w:r>
    </w:p>
    <w:p w14:paraId="10D9AC30" w14:textId="36AE52DE" w:rsidR="00600332" w:rsidRPr="002C61A1" w:rsidRDefault="00855EED" w:rsidP="00147312">
      <w:pPr>
        <w:rPr>
          <w:rFonts w:ascii="Arial" w:hAnsi="Arial" w:cs="Arial"/>
          <w:b/>
          <w:bCs/>
        </w:rPr>
      </w:pPr>
      <w:r>
        <w:rPr>
          <w:rFonts w:ascii="Arial" w:hAnsi="Arial" w:cs="Arial"/>
          <w:b/>
          <w:bCs/>
        </w:rPr>
        <w:t>End of year spend:</w:t>
      </w:r>
      <w:r w:rsidR="00F23A00">
        <w:rPr>
          <w:rFonts w:ascii="Arial" w:hAnsi="Arial" w:cs="Arial"/>
          <w:b/>
          <w:bCs/>
        </w:rPr>
        <w:t xml:space="preserve"> </w:t>
      </w:r>
    </w:p>
    <w:sectPr w:rsidR="00600332" w:rsidRPr="002C61A1" w:rsidSect="00C8754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201"/>
    <w:multiLevelType w:val="hybridMultilevel"/>
    <w:tmpl w:val="08DA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D6DD2"/>
    <w:multiLevelType w:val="hybridMultilevel"/>
    <w:tmpl w:val="C3D8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B5C3E"/>
    <w:multiLevelType w:val="hybridMultilevel"/>
    <w:tmpl w:val="9CA4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25FD"/>
    <w:multiLevelType w:val="hybridMultilevel"/>
    <w:tmpl w:val="5D9E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83833"/>
    <w:multiLevelType w:val="hybridMultilevel"/>
    <w:tmpl w:val="9AF2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C60CC"/>
    <w:multiLevelType w:val="hybridMultilevel"/>
    <w:tmpl w:val="A7C4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15CE0"/>
    <w:multiLevelType w:val="hybridMultilevel"/>
    <w:tmpl w:val="9EAC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356FE"/>
    <w:multiLevelType w:val="hybridMultilevel"/>
    <w:tmpl w:val="240E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D307CE"/>
    <w:multiLevelType w:val="hybridMultilevel"/>
    <w:tmpl w:val="E274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0"/>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4F"/>
    <w:rsid w:val="00000513"/>
    <w:rsid w:val="00004E98"/>
    <w:rsid w:val="00011E31"/>
    <w:rsid w:val="00014BC6"/>
    <w:rsid w:val="000542ED"/>
    <w:rsid w:val="00060C2A"/>
    <w:rsid w:val="00073905"/>
    <w:rsid w:val="0008779E"/>
    <w:rsid w:val="000C0628"/>
    <w:rsid w:val="000E384C"/>
    <w:rsid w:val="000E5B35"/>
    <w:rsid w:val="000F516A"/>
    <w:rsid w:val="001113AB"/>
    <w:rsid w:val="0013317A"/>
    <w:rsid w:val="00147312"/>
    <w:rsid w:val="001E1A1B"/>
    <w:rsid w:val="00203646"/>
    <w:rsid w:val="002234FA"/>
    <w:rsid w:val="00233AFC"/>
    <w:rsid w:val="00235883"/>
    <w:rsid w:val="002420CB"/>
    <w:rsid w:val="0024302F"/>
    <w:rsid w:val="00294484"/>
    <w:rsid w:val="00297D3A"/>
    <w:rsid w:val="002C61A1"/>
    <w:rsid w:val="002D1315"/>
    <w:rsid w:val="002E08D4"/>
    <w:rsid w:val="002F2AAB"/>
    <w:rsid w:val="0030390E"/>
    <w:rsid w:val="003112A6"/>
    <w:rsid w:val="003249EE"/>
    <w:rsid w:val="0035367C"/>
    <w:rsid w:val="00375B8B"/>
    <w:rsid w:val="003827AC"/>
    <w:rsid w:val="0039264C"/>
    <w:rsid w:val="003950D9"/>
    <w:rsid w:val="0039600A"/>
    <w:rsid w:val="003A22A7"/>
    <w:rsid w:val="003A54F7"/>
    <w:rsid w:val="003C79B9"/>
    <w:rsid w:val="003E4FFA"/>
    <w:rsid w:val="0041062B"/>
    <w:rsid w:val="004361AB"/>
    <w:rsid w:val="00440A36"/>
    <w:rsid w:val="004755E9"/>
    <w:rsid w:val="00486B56"/>
    <w:rsid w:val="004B1856"/>
    <w:rsid w:val="004C5341"/>
    <w:rsid w:val="004D1CAF"/>
    <w:rsid w:val="004D4480"/>
    <w:rsid w:val="00506503"/>
    <w:rsid w:val="00511FC6"/>
    <w:rsid w:val="00521367"/>
    <w:rsid w:val="00523301"/>
    <w:rsid w:val="0053420F"/>
    <w:rsid w:val="005541A1"/>
    <w:rsid w:val="0056360E"/>
    <w:rsid w:val="00567672"/>
    <w:rsid w:val="005B4B6D"/>
    <w:rsid w:val="005D2880"/>
    <w:rsid w:val="005E553B"/>
    <w:rsid w:val="005F3D0A"/>
    <w:rsid w:val="005F5B69"/>
    <w:rsid w:val="00600332"/>
    <w:rsid w:val="00600E65"/>
    <w:rsid w:val="006052E4"/>
    <w:rsid w:val="00696C28"/>
    <w:rsid w:val="006A06B0"/>
    <w:rsid w:val="006A471E"/>
    <w:rsid w:val="006B2FEF"/>
    <w:rsid w:val="006B4CC1"/>
    <w:rsid w:val="006C29B9"/>
    <w:rsid w:val="006F4EAE"/>
    <w:rsid w:val="00706311"/>
    <w:rsid w:val="00741B80"/>
    <w:rsid w:val="007427ED"/>
    <w:rsid w:val="00751A0A"/>
    <w:rsid w:val="00757848"/>
    <w:rsid w:val="00770984"/>
    <w:rsid w:val="00772D41"/>
    <w:rsid w:val="00780993"/>
    <w:rsid w:val="00781A40"/>
    <w:rsid w:val="007C0B23"/>
    <w:rsid w:val="007C7B72"/>
    <w:rsid w:val="007F6F7A"/>
    <w:rsid w:val="0080021A"/>
    <w:rsid w:val="00803BF0"/>
    <w:rsid w:val="00813B9E"/>
    <w:rsid w:val="0082049A"/>
    <w:rsid w:val="00822638"/>
    <w:rsid w:val="00827172"/>
    <w:rsid w:val="00855EED"/>
    <w:rsid w:val="008669B2"/>
    <w:rsid w:val="00874B9A"/>
    <w:rsid w:val="008A7A8A"/>
    <w:rsid w:val="008B0F34"/>
    <w:rsid w:val="008F0B18"/>
    <w:rsid w:val="008F1465"/>
    <w:rsid w:val="00933087"/>
    <w:rsid w:val="00953CC4"/>
    <w:rsid w:val="00964A52"/>
    <w:rsid w:val="009C0E29"/>
    <w:rsid w:val="009F4273"/>
    <w:rsid w:val="00A1266D"/>
    <w:rsid w:val="00A242CF"/>
    <w:rsid w:val="00A479A5"/>
    <w:rsid w:val="00A51146"/>
    <w:rsid w:val="00A62E14"/>
    <w:rsid w:val="00A64454"/>
    <w:rsid w:val="00A9239C"/>
    <w:rsid w:val="00AC73AC"/>
    <w:rsid w:val="00AC7DF5"/>
    <w:rsid w:val="00B377A8"/>
    <w:rsid w:val="00B51837"/>
    <w:rsid w:val="00BA0567"/>
    <w:rsid w:val="00BE0405"/>
    <w:rsid w:val="00BE3C9B"/>
    <w:rsid w:val="00C02EF4"/>
    <w:rsid w:val="00C306D3"/>
    <w:rsid w:val="00C3085E"/>
    <w:rsid w:val="00C3390D"/>
    <w:rsid w:val="00C8754F"/>
    <w:rsid w:val="00CB23B7"/>
    <w:rsid w:val="00CC74BC"/>
    <w:rsid w:val="00D03697"/>
    <w:rsid w:val="00D305CD"/>
    <w:rsid w:val="00D53FD8"/>
    <w:rsid w:val="00D652E3"/>
    <w:rsid w:val="00DE2062"/>
    <w:rsid w:val="00DF339A"/>
    <w:rsid w:val="00DF4480"/>
    <w:rsid w:val="00E32717"/>
    <w:rsid w:val="00E53C45"/>
    <w:rsid w:val="00E86E0D"/>
    <w:rsid w:val="00EC20D5"/>
    <w:rsid w:val="00EE3DDC"/>
    <w:rsid w:val="00EF6714"/>
    <w:rsid w:val="00F23A00"/>
    <w:rsid w:val="00F23B7B"/>
    <w:rsid w:val="00F54A2B"/>
    <w:rsid w:val="00F61A71"/>
    <w:rsid w:val="00F74122"/>
    <w:rsid w:val="00F76BAC"/>
    <w:rsid w:val="00FD1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506"/>
  <w15:docId w15:val="{07BF2CF5-EFE5-439D-B64A-EF7DEC57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54F"/>
    <w:pPr>
      <w:pBdr>
        <w:top w:val="nil"/>
        <w:left w:val="nil"/>
        <w:bottom w:val="nil"/>
        <w:right w:val="nil"/>
        <w:between w:val="nil"/>
      </w:pBdr>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AFC"/>
    <w:pPr>
      <w:ind w:left="720"/>
      <w:contextualSpacing/>
    </w:pPr>
  </w:style>
  <w:style w:type="paragraph" w:styleId="BalloonText">
    <w:name w:val="Balloon Text"/>
    <w:basedOn w:val="Normal"/>
    <w:link w:val="BalloonTextChar"/>
    <w:uiPriority w:val="99"/>
    <w:semiHidden/>
    <w:unhideWhenUsed/>
    <w:rsid w:val="00BE0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05"/>
    <w:rPr>
      <w:rFonts w:ascii="Tahoma" w:eastAsia="Calibri" w:hAnsi="Tahoma" w:cs="Tahoma"/>
      <w:color w:val="000000"/>
      <w:sz w:val="16"/>
      <w:szCs w:val="16"/>
      <w:lang w:eastAsia="en-GB"/>
    </w:rPr>
  </w:style>
  <w:style w:type="character" w:styleId="CommentReference">
    <w:name w:val="annotation reference"/>
    <w:basedOn w:val="DefaultParagraphFont"/>
    <w:uiPriority w:val="99"/>
    <w:semiHidden/>
    <w:unhideWhenUsed/>
    <w:rsid w:val="00770984"/>
    <w:rPr>
      <w:sz w:val="16"/>
      <w:szCs w:val="16"/>
    </w:rPr>
  </w:style>
  <w:style w:type="paragraph" w:styleId="CommentText">
    <w:name w:val="annotation text"/>
    <w:basedOn w:val="Normal"/>
    <w:link w:val="CommentTextChar"/>
    <w:uiPriority w:val="99"/>
    <w:semiHidden/>
    <w:unhideWhenUsed/>
    <w:rsid w:val="00770984"/>
    <w:pPr>
      <w:spacing w:line="240" w:lineRule="auto"/>
    </w:pPr>
    <w:rPr>
      <w:sz w:val="20"/>
      <w:szCs w:val="20"/>
    </w:rPr>
  </w:style>
  <w:style w:type="character" w:customStyle="1" w:styleId="CommentTextChar">
    <w:name w:val="Comment Text Char"/>
    <w:basedOn w:val="DefaultParagraphFont"/>
    <w:link w:val="CommentText"/>
    <w:uiPriority w:val="99"/>
    <w:semiHidden/>
    <w:rsid w:val="00770984"/>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770984"/>
    <w:rPr>
      <w:b/>
      <w:bCs/>
    </w:rPr>
  </w:style>
  <w:style w:type="character" w:customStyle="1" w:styleId="CommentSubjectChar">
    <w:name w:val="Comment Subject Char"/>
    <w:basedOn w:val="CommentTextChar"/>
    <w:link w:val="CommentSubject"/>
    <w:uiPriority w:val="99"/>
    <w:semiHidden/>
    <w:rsid w:val="00770984"/>
    <w:rPr>
      <w:rFonts w:ascii="Calibri" w:eastAsia="Calibri" w:hAnsi="Calibri" w:cs="Calibri"/>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11874-014F-465E-8D04-71313136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Clark</dc:creator>
  <cp:keywords/>
  <dc:description/>
  <cp:lastModifiedBy> </cp:lastModifiedBy>
  <cp:revision>2</cp:revision>
  <cp:lastPrinted>2021-06-28T09:26:00Z</cp:lastPrinted>
  <dcterms:created xsi:type="dcterms:W3CDTF">2023-07-05T09:32:00Z</dcterms:created>
  <dcterms:modified xsi:type="dcterms:W3CDTF">2023-07-05T09:32:00Z</dcterms:modified>
</cp:coreProperties>
</file>